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279" w:rsidRDefault="00972279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P307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 м</w:t>
      </w:r>
      <w:r w:rsidRPr="00972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етодик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972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расчета субвенций бюджетам муниципальных районов Ханты-Мансийского автономного округа-Югры на исполнение государственных полномочий по расчету и предоставлению дотаций на выравнивание бюджетной обеспеченности поселений, входящих в состав муниципальных районов, расчета дотаций на выравнивание бюджетной обеспеченности поселений, расчета и установления заменяющих дотации на выравнивание бюджетной обеспеченности поселений дополнительных нормативов отчислений от налога на доходы 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физических лиц</w:t>
      </w:r>
    </w:p>
    <w:p w:rsidR="00972279" w:rsidRDefault="00972279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Pr="00972279" w:rsidRDefault="00972279" w:rsidP="00972279">
      <w:pPr>
        <w:pStyle w:val="ConsPlusTitle"/>
        <w:jc w:val="center"/>
        <w:rPr>
          <w:rFonts w:ascii="Times New Roman" w:hAnsi="Times New Roman" w:cs="Times New Roman"/>
          <w:b w:val="0"/>
        </w:rPr>
      </w:pPr>
      <w:r w:rsidRPr="00972279">
        <w:rPr>
          <w:rFonts w:ascii="Times New Roman" w:hAnsi="Times New Roman" w:cs="Times New Roman"/>
          <w:b w:val="0"/>
          <w:sz w:val="24"/>
          <w:szCs w:val="24"/>
        </w:rPr>
        <w:t>(</w:t>
      </w:r>
      <w:r w:rsidRPr="00972279">
        <w:rPr>
          <w:rFonts w:ascii="Times New Roman" w:hAnsi="Times New Roman"/>
          <w:b w:val="0"/>
          <w:sz w:val="24"/>
          <w:szCs w:val="24"/>
        </w:rPr>
        <w:t>проект закона Ханты-Мансийского автономного округа – Югры «О внесении изменений в Закон Ханты-Мансийского автономного округа – Югры «</w:t>
      </w:r>
      <w:r w:rsidRPr="00972279">
        <w:rPr>
          <w:rFonts w:ascii="Times New Roman" w:hAnsi="Times New Roman" w:cs="Times New Roman"/>
          <w:b w:val="0"/>
        </w:rPr>
        <w:t>О межбюджетных отношениях в Ханты-Мансийском автономном округе-Югре</w:t>
      </w:r>
      <w:r w:rsidR="00054D01">
        <w:rPr>
          <w:rFonts w:ascii="Times New Roman" w:hAnsi="Times New Roman" w:cs="Times New Roman"/>
          <w:b w:val="0"/>
        </w:rPr>
        <w:t>»</w:t>
      </w:r>
      <w:r w:rsidRPr="00972279">
        <w:rPr>
          <w:rFonts w:ascii="Times New Roman" w:hAnsi="Times New Roman" w:cs="Times New Roman"/>
          <w:b w:val="0"/>
        </w:rPr>
        <w:t>)</w:t>
      </w:r>
    </w:p>
    <w:p w:rsidR="00972279" w:rsidRPr="00972279" w:rsidRDefault="00972279" w:rsidP="00972279">
      <w:pPr>
        <w:pStyle w:val="ConsPlusNormal"/>
        <w:jc w:val="both"/>
        <w:rPr>
          <w:rFonts w:ascii="Times New Roman" w:hAnsi="Times New Roman" w:cs="Times New Roman"/>
        </w:rPr>
      </w:pPr>
    </w:p>
    <w:p w:rsidR="00972279" w:rsidRDefault="00972279" w:rsidP="0097227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субвенций бюджетам муниципальных районов на исполнение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муниципальных районов, на очередной финан</w:t>
      </w:r>
      <w:bookmarkStart w:id="1" w:name="_GoBack"/>
      <w:bookmarkEnd w:id="1"/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совый год, первый и второй год планового периода (СМР) рассчитывается по следующей формуле:</w:t>
      </w:r>
    </w:p>
    <w:p w:rsidR="00054D01" w:rsidRPr="00972279" w:rsidRDefault="00054D01" w:rsidP="00972279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СМР =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SUM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МР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), где:</w:t>
      </w:r>
    </w:p>
    <w:p w:rsidR="00054D01" w:rsidRPr="00972279" w:rsidRDefault="00054D01" w:rsidP="009722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МР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общий объем субвенции бюджету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 муниципального района автономного округа на исполнение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на очередной финансовый год, первый и второй год планового периода;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SUM – знак суммирования.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субвенции бюджету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 муниципального района автономного округа на исполнение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на очередной финансовый год, первый и второй год планового периода (СМР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), определяется по следующей формуле:</w:t>
      </w:r>
    </w:p>
    <w:p w:rsid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СМР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СМРч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+ СМРа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, где:</w:t>
      </w:r>
    </w:p>
    <w:p w:rsidR="00054D01" w:rsidRPr="00972279" w:rsidRDefault="00054D01" w:rsidP="00972279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СМРч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–объем субвенции бюджету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 муниципального района на исполнение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на очередной финансовый год, первый и второй год планового периода, распределяемый исходя из численности жителей в расчете на одного жителя;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СМРа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объем субвенции бюджету i - го муниципального района на администрирование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на очередной финансовый год, первый и второй год планового периода;</w:t>
      </w:r>
    </w:p>
    <w:p w:rsidR="00972279" w:rsidRPr="00972279" w:rsidRDefault="00972279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субвенции бюджету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 муниципального района на исполнение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в очередном финансовом году 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СМРч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</m:t>
            </m:r>
          </m:sup>
        </m:sSubSup>
      </m:oMath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первом 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СМРч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t+1</m:t>
            </m:r>
          </m:sup>
        </m:sSubSup>
        <m:r>
          <w:rPr>
            <w:rFonts w:ascii="Cambria Math" w:eastAsia="Times New Roman" w:hAnsi="Cambria Math" w:cs="Times New Roman"/>
            <w:sz w:val="24"/>
            <w:szCs w:val="24"/>
            <w:lang w:eastAsia="ru-RU"/>
          </w:rPr>
          <m:t>)</m:t>
        </m:r>
      </m:oMath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втором году планового периода (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eastAsia="ru-RU"/>
              </w:rPr>
            </m:ctrlPr>
          </m:sSubSup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СМРч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  <w:lang w:val="en-US" w:eastAsia="ru-RU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4"/>
                <w:szCs w:val="24"/>
                <w:lang w:eastAsia="ru-RU"/>
              </w:rPr>
              <m:t>t+2</m:t>
            </m:r>
          </m:sup>
        </m:sSubSup>
      </m:oMath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распределяемый исходя из численности жителей в расчете на одного жителя, </w:t>
      </w:r>
      <w:r w:rsidRPr="00972279">
        <w:rPr>
          <w:rFonts w:ascii="Times New Roman" w:eastAsia="Calibri" w:hAnsi="Times New Roman" w:cs="Times New Roman"/>
          <w:sz w:val="24"/>
          <w:szCs w:val="24"/>
        </w:rPr>
        <w:t>рассчитывается по следующим формулам:</w:t>
      </w:r>
    </w:p>
    <w:p w:rsidR="00972279" w:rsidRPr="00972279" w:rsidRDefault="007070A0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СМРч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</m:t>
              </m:r>
            </m:sup>
          </m:sSubSup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УСМРч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</m:t>
              </m:r>
            </m:sup>
          </m:sSubSup>
          <m:r>
            <w:rPr>
              <w:rFonts w:ascii="Cambria Math" w:eastAsia="Calibri" w:hAnsi="Cambria Math" w:cs="Times New Roman"/>
              <w:sz w:val="24"/>
              <w:szCs w:val="24"/>
            </w:rPr>
            <m:t>+(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Д</m:t>
              </m:r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</m:t>
              </m:r>
            </m:sup>
          </m:sSup>
          <m:r>
            <w:rPr>
              <w:rFonts w:ascii="Cambria Math" w:eastAsia="Calibri" w:hAnsi="Cambria Math" w:cs="Times New Roman"/>
              <w:sz w:val="24"/>
              <w:szCs w:val="24"/>
            </w:rPr>
            <m:t>-</m:t>
          </m:r>
          <m: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SUM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УСМРч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sup>
              </m:sSubSup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="Calibri" w:hAnsi="Cambria Math" w:cs="Times New Roman"/>
              <w:sz w:val="24"/>
              <w:szCs w:val="24"/>
            </w:rPr>
            <m:t>)*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/H,</m:t>
          </m:r>
        </m:oMath>
      </m:oMathPara>
    </w:p>
    <w:p w:rsidR="00972279" w:rsidRPr="00972279" w:rsidRDefault="007070A0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i/>
          <w:sz w:val="24"/>
          <w:szCs w:val="24"/>
          <w:lang w:val="en-US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СМРч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t+1</m:t>
              </m:r>
            </m:sup>
          </m:sSubSup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УСМРч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t+1</m:t>
              </m:r>
            </m:sup>
          </m:sSubSup>
          <m:r>
            <w:rPr>
              <w:rFonts w:ascii="Cambria Math" w:eastAsia="Calibri" w:hAnsi="Cambria Math" w:cs="Times New Roman"/>
              <w:sz w:val="24"/>
              <w:szCs w:val="24"/>
            </w:rPr>
            <m:t>+(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R</m:t>
              </m:r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t+1</m:t>
              </m:r>
            </m:sup>
          </m:sSup>
          <m:r>
            <w:rPr>
              <w:rFonts w:ascii="Cambria Math" w:eastAsia="Calibri" w:hAnsi="Cambria Math" w:cs="Times New Roman"/>
              <w:sz w:val="24"/>
              <w:szCs w:val="24"/>
            </w:rPr>
            <m:t>*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Д</m:t>
              </m:r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t+1</m:t>
              </m:r>
            </m:sup>
          </m:sSup>
          <m:r>
            <w:rPr>
              <w:rFonts w:ascii="Cambria Math" w:eastAsia="Calibri" w:hAnsi="Cambria Math" w:cs="Times New Roman"/>
              <w:sz w:val="24"/>
              <w:szCs w:val="24"/>
            </w:rPr>
            <m:t>-</m:t>
          </m:r>
          <m: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SUM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УСМРч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t+1</m:t>
                  </m:r>
                </m:sup>
              </m:sSubSup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="Calibri" w:hAnsi="Cambria Math" w:cs="Times New Roman"/>
              <w:sz w:val="24"/>
              <w:szCs w:val="24"/>
            </w:rPr>
            <m:t>) *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/H,</m:t>
          </m:r>
        </m:oMath>
      </m:oMathPara>
    </w:p>
    <w:p w:rsidR="00972279" w:rsidRPr="00972279" w:rsidRDefault="00972279" w:rsidP="00972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</w:p>
    <w:p w:rsidR="00972279" w:rsidRPr="00972279" w:rsidRDefault="007070A0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trike/>
          <w:sz w:val="24"/>
          <w:szCs w:val="24"/>
        </w:rPr>
      </w:pPr>
      <m:oMathPara>
        <m:oMath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СМРч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t+2</m:t>
              </m:r>
            </m:sup>
          </m:sSubSup>
          <m:r>
            <w:rPr>
              <w:rFonts w:ascii="Cambria Math" w:eastAsia="Calibri" w:hAnsi="Cambria Math" w:cs="Times New Roman"/>
              <w:sz w:val="24"/>
              <w:szCs w:val="24"/>
            </w:rPr>
            <m:t>=</m:t>
          </m:r>
          <m:sSubSup>
            <m:sSub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СМРч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t+1</m:t>
              </m:r>
            </m:sup>
          </m:sSubSup>
          <m:r>
            <w:rPr>
              <w:rFonts w:ascii="Cambria Math" w:eastAsia="Calibri" w:hAnsi="Cambria Math" w:cs="Times New Roman"/>
              <w:sz w:val="24"/>
              <w:szCs w:val="24"/>
            </w:rPr>
            <m:t>+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(R</m:t>
              </m:r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t+2</m:t>
              </m:r>
            </m:sup>
          </m:sSup>
          <m:r>
            <w:rPr>
              <w:rFonts w:ascii="Cambria Math" w:eastAsia="Calibri" w:hAnsi="Cambria Math" w:cs="Times New Roman"/>
              <w:sz w:val="24"/>
              <w:szCs w:val="24"/>
            </w:rPr>
            <m:t>*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Д</m:t>
              </m:r>
            </m:e>
            <m:sup>
              <m:r>
                <w:rPr>
                  <w:rFonts w:ascii="Cambria Math" w:eastAsia="Calibri" w:hAnsi="Cambria Math" w:cs="Times New Roman"/>
                  <w:sz w:val="24"/>
                  <w:szCs w:val="24"/>
                  <w:lang w:val="en-US"/>
                </w:rPr>
                <m:t>t+2</m:t>
              </m:r>
            </m:sup>
          </m:sSup>
          <m:r>
            <w:rPr>
              <w:rFonts w:ascii="Cambria Math" w:eastAsia="Calibri" w:hAnsi="Cambria Math" w:cs="Times New Roman"/>
              <w:sz w:val="24"/>
              <w:szCs w:val="24"/>
            </w:rPr>
            <m:t>-</m:t>
          </m:r>
          <m:r>
            <w:rPr>
              <w:rFonts w:ascii="Cambria Math" w:eastAsia="Calibri" w:hAnsi="Cambria Math" w:cs="Times New Roman"/>
              <w:sz w:val="24"/>
              <w:szCs w:val="24"/>
              <w:lang w:val="en-US"/>
            </w:rPr>
            <m:t>SUM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  <w:lang w:val="en-US"/>
                </w:rPr>
              </m:ctrlPr>
            </m:dPr>
            <m:e>
              <m:sSubSup>
                <m:sSub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СМРч</m:t>
                  </m:r>
                </m:e>
                <m:sub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en-US"/>
                    </w:rPr>
                    <m:t>t+1</m:t>
                  </m:r>
                </m:sup>
              </m:sSubSup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e>
          </m:d>
          <m:r>
            <w:rPr>
              <w:rFonts w:ascii="Cambria Math" w:eastAsia="Calibri" w:hAnsi="Cambria Math" w:cs="Times New Roman"/>
              <w:sz w:val="24"/>
              <w:szCs w:val="24"/>
            </w:rPr>
            <m:t>)*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H</m:t>
              </m:r>
            </m:e>
            <m:sub>
              <m:r>
                <w:rPr>
                  <w:rFonts w:ascii="Cambria Math" w:eastAsia="Calibri" w:hAnsi="Cambria Math" w:cs="Times New Roman"/>
                  <w:sz w:val="24"/>
                  <w:szCs w:val="24"/>
                </w:rPr>
                <m:t>i</m:t>
              </m:r>
            </m:sub>
          </m:sSub>
          <m:r>
            <w:rPr>
              <w:rFonts w:ascii="Cambria Math" w:eastAsia="Calibri" w:hAnsi="Cambria Math" w:cs="Times New Roman"/>
              <w:sz w:val="24"/>
              <w:szCs w:val="24"/>
            </w:rPr>
            <m:t>/H,</m:t>
          </m:r>
        </m:oMath>
      </m:oMathPara>
    </w:p>
    <w:p w:rsidR="00972279" w:rsidRPr="00972279" w:rsidRDefault="00972279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72279" w:rsidRPr="00972279" w:rsidRDefault="007070A0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УСМРч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t</m:t>
            </m:r>
          </m:sup>
        </m:sSubSup>
      </m:oMath>
      <w:r w:rsidR="00972279" w:rsidRPr="009722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Sup>
          <m:sSubSup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УСМРч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t</m:t>
            </m:r>
            <m:r>
              <w:rPr>
                <w:rFonts w:ascii="Cambria Math" w:eastAsia="Calibri" w:hAnsi="Cambria Math" w:cs="Times New Roman"/>
                <w:sz w:val="24"/>
                <w:szCs w:val="24"/>
              </w:rPr>
              <m:t>+1</m:t>
            </m:r>
          </m:sup>
        </m:sSubSup>
      </m:oMath>
      <w:r w:rsidR="00972279" w:rsidRPr="00972279">
        <w:rPr>
          <w:rFonts w:ascii="Times New Roman" w:eastAsia="Calibri" w:hAnsi="Times New Roman" w:cs="Times New Roman"/>
          <w:sz w:val="24"/>
          <w:szCs w:val="24"/>
        </w:rPr>
        <w:t xml:space="preserve"> - объем субвенции, предоставляемой бюджету i-го муниципального района из бюджета автономного округа на осуществление передаваемых отдельных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за счет средств бюджета автономного округа, утвержденный соответственно на очередной финансовый год и первый год планового периода законом автономного округа о бюджете автономного округа на текущий финансовый год и плановый период. В случаях предусмотренных Бюджетным кодексом Российской Федерации по исключению условий неснижения размера дотации на выравнивание бюджетной обеспеченности поселений, указанный объем субвенции может приниматься равным 0;</w:t>
      </w:r>
    </w:p>
    <w:p w:rsidR="00972279" w:rsidRPr="00972279" w:rsidRDefault="00972279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279">
        <w:rPr>
          <w:rFonts w:ascii="Times New Roman" w:eastAsia="Calibri" w:hAnsi="Times New Roman" w:cs="Times New Roman"/>
          <w:sz w:val="24"/>
          <w:szCs w:val="24"/>
        </w:rPr>
        <w:t>Д</w:t>
      </w:r>
      <w:r w:rsidRPr="00972279">
        <w:rPr>
          <w:rFonts w:ascii="Times New Roman" w:eastAsia="Calibri" w:hAnsi="Times New Roman" w:cs="Times New Roman"/>
          <w:sz w:val="24"/>
          <w:szCs w:val="24"/>
          <w:vertAlign w:val="superscript"/>
        </w:rPr>
        <w:t>t</w:t>
      </w:r>
      <w:r w:rsidRPr="00972279">
        <w:rPr>
          <w:rFonts w:ascii="Times New Roman" w:eastAsia="Calibri" w:hAnsi="Times New Roman" w:cs="Times New Roman"/>
          <w:sz w:val="24"/>
          <w:szCs w:val="24"/>
        </w:rPr>
        <w:t>, Д</w:t>
      </w:r>
      <w:r w:rsidRPr="00972279">
        <w:rPr>
          <w:rFonts w:ascii="Times New Roman" w:eastAsia="Calibri" w:hAnsi="Times New Roman" w:cs="Times New Roman"/>
          <w:sz w:val="24"/>
          <w:szCs w:val="24"/>
          <w:vertAlign w:val="superscript"/>
        </w:rPr>
        <w:t>t+1</w:t>
      </w:r>
      <w:r w:rsidRPr="00972279">
        <w:rPr>
          <w:rFonts w:ascii="Times New Roman" w:eastAsia="Calibri" w:hAnsi="Times New Roman" w:cs="Times New Roman"/>
          <w:sz w:val="24"/>
          <w:szCs w:val="24"/>
        </w:rPr>
        <w:t>, Д</w:t>
      </w:r>
      <w:r w:rsidRPr="00972279">
        <w:rPr>
          <w:rFonts w:ascii="Times New Roman" w:eastAsia="Calibri" w:hAnsi="Times New Roman" w:cs="Times New Roman"/>
          <w:sz w:val="24"/>
          <w:szCs w:val="24"/>
          <w:vertAlign w:val="superscript"/>
        </w:rPr>
        <w:t>t+2</w:t>
      </w:r>
      <w:r w:rsidRPr="00972279">
        <w:rPr>
          <w:rFonts w:ascii="Times New Roman" w:eastAsia="Calibri" w:hAnsi="Times New Roman" w:cs="Times New Roman"/>
          <w:sz w:val="24"/>
          <w:szCs w:val="24"/>
        </w:rPr>
        <w:t xml:space="preserve"> - общий объем дотаций на выравнивание бюджетной обеспеченности поселений на очередной финансовый год, первый и второй годы планового периода, рассчитанный согласно приложению 1 к настоящему Закону;</w:t>
      </w:r>
    </w:p>
    <w:p w:rsidR="00972279" w:rsidRPr="00972279" w:rsidRDefault="00972279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279">
        <w:rPr>
          <w:rFonts w:ascii="Times New Roman" w:eastAsia="Calibri" w:hAnsi="Times New Roman" w:cs="Times New Roman"/>
          <w:sz w:val="24"/>
          <w:szCs w:val="24"/>
        </w:rPr>
        <w:t>R</w:t>
      </w:r>
      <w:r w:rsidRPr="00972279">
        <w:rPr>
          <w:rFonts w:ascii="Times New Roman" w:eastAsia="Calibri" w:hAnsi="Times New Roman" w:cs="Times New Roman"/>
          <w:sz w:val="24"/>
          <w:szCs w:val="24"/>
          <w:vertAlign w:val="superscript"/>
        </w:rPr>
        <w:t>t+1</w:t>
      </w:r>
      <w:r w:rsidRPr="00972279">
        <w:rPr>
          <w:rFonts w:ascii="Times New Roman" w:eastAsia="Calibri" w:hAnsi="Times New Roman" w:cs="Times New Roman"/>
          <w:sz w:val="24"/>
          <w:szCs w:val="24"/>
        </w:rPr>
        <w:t>, R</w:t>
      </w:r>
      <w:r w:rsidRPr="00972279">
        <w:rPr>
          <w:rFonts w:ascii="Times New Roman" w:eastAsia="Calibri" w:hAnsi="Times New Roman" w:cs="Times New Roman"/>
          <w:sz w:val="24"/>
          <w:szCs w:val="24"/>
          <w:vertAlign w:val="superscript"/>
        </w:rPr>
        <w:t>t+2</w:t>
      </w:r>
      <w:r w:rsidRPr="00972279">
        <w:rPr>
          <w:rFonts w:ascii="Times New Roman" w:eastAsia="Calibri" w:hAnsi="Times New Roman" w:cs="Times New Roman"/>
          <w:sz w:val="24"/>
          <w:szCs w:val="24"/>
        </w:rPr>
        <w:t xml:space="preserve"> - распределяемая часть общего объема дотаций на выравнивание бюджетной обеспеченности поселений в первом и втором годах планового периода;</w:t>
      </w:r>
    </w:p>
    <w:p w:rsidR="00972279" w:rsidRPr="00972279" w:rsidRDefault="00972279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279">
        <w:rPr>
          <w:rFonts w:ascii="Times New Roman" w:eastAsia="Calibri" w:hAnsi="Times New Roman" w:cs="Times New Roman"/>
          <w:sz w:val="24"/>
          <w:szCs w:val="24"/>
        </w:rPr>
        <w:t>Н</w:t>
      </w:r>
      <w:r w:rsidRPr="00972279">
        <w:rPr>
          <w:rFonts w:ascii="Times New Roman" w:eastAsia="Calibri" w:hAnsi="Times New Roman" w:cs="Times New Roman"/>
          <w:sz w:val="24"/>
          <w:szCs w:val="24"/>
          <w:vertAlign w:val="subscript"/>
        </w:rPr>
        <w:t>i</w:t>
      </w:r>
      <w:r w:rsidRPr="00972279">
        <w:rPr>
          <w:rFonts w:ascii="Times New Roman" w:eastAsia="Calibri" w:hAnsi="Times New Roman" w:cs="Times New Roman"/>
          <w:sz w:val="24"/>
          <w:szCs w:val="24"/>
        </w:rPr>
        <w:t xml:space="preserve"> - численность постоянного населения i-го муниципального района;</w:t>
      </w:r>
    </w:p>
    <w:p w:rsidR="00972279" w:rsidRPr="00972279" w:rsidRDefault="00972279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279">
        <w:rPr>
          <w:rFonts w:ascii="Times New Roman" w:eastAsia="Calibri" w:hAnsi="Times New Roman" w:cs="Times New Roman"/>
          <w:sz w:val="24"/>
          <w:szCs w:val="24"/>
        </w:rPr>
        <w:t>Н - численность постоянного населения муниципальных районов автономного округа;</w:t>
      </w:r>
    </w:p>
    <w:p w:rsidR="00972279" w:rsidRPr="00972279" w:rsidRDefault="00972279" w:rsidP="009722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2279">
        <w:rPr>
          <w:rFonts w:ascii="Times New Roman" w:eastAsia="Calibri" w:hAnsi="Times New Roman" w:cs="Times New Roman"/>
          <w:sz w:val="24"/>
          <w:szCs w:val="24"/>
        </w:rPr>
        <w:t>SUM - знак суммирования.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субвенции бюджету i - го муниципального района из бюджета автономного округа на администрирование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на очередной финансовый год, первый и второй год планового периода (СМРа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рассчитывается по следующей формуле:</w:t>
      </w:r>
    </w:p>
    <w:p w:rsidR="00972279" w:rsidRDefault="00972279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СМРа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= (Норм+Мз) * К, где:</w:t>
      </w:r>
    </w:p>
    <w:p w:rsidR="00054D01" w:rsidRPr="00972279" w:rsidRDefault="00054D01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 – объем затрат на выплату заработной платы и начислений на оплату труда, в расчете на одного муниципального служащего органа местного самоуправления i-го муниципального района, замещающего должность «главный специалист» категории «специалист» группы «старшие» и обеспечивающего исполнение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рассчитываемый в соответствии с нормативным правовым актом Правительства Ханты-Мансийского автономного округа – Югры.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Мз - материальные затраты на содержание и обеспечение деятельности муниципального служащего органа местного самоуправления i-го муниципального района, обеспечивающего исполнение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исчисляемые в размере 5 процентов от фонда оплаты труда;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 – численность муниципальных служащих из расчета 0,5 единицы на администрирование переданного полномочия.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настоящей Методики используются сведения о численности постоянного населения муниципальных районов согласно информации территориальных органов государственной статистики по состоянию на 1 января текущего финансового года.</w:t>
      </w:r>
    </w:p>
    <w:p w:rsidR="00972279" w:rsidRDefault="00972279" w:rsidP="0097227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дотации на выравнивание бюджетной обеспеченности поселений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-му поселению, входящему в состав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 муниципального района (Д1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счет средств субвенции бюджету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 муниципального района на исполнение государственных полномочий по расчету и предоставлению дотаций на выравнивание бюджетной обеспеченности поселений бюджетам городских, сельских поселений, входящих в состав муниципального района, распределяемой исходя из численности жителей в расчете на одного жителя, рассчитывается по следующей формуле:</w:t>
      </w:r>
    </w:p>
    <w:p w:rsidR="00054D01" w:rsidRPr="00972279" w:rsidRDefault="00054D01" w:rsidP="0097227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1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Default="00972279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Д1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СМРч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x Р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Р, где:</w:t>
      </w:r>
    </w:p>
    <w:p w:rsidR="00054D01" w:rsidRPr="00972279" w:rsidRDefault="00054D01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численность постоянного населения n-го поселения;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- численность постоянного населения городских, сельских поселений, входящих в состав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муниципального района.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определении объема дотаций на выравнивание бюджетной обеспеченности поселений на очередной финансовый год и плановый период не допускается снижение размера дотации на выравнивание бюджетной обеспеченности поселений бюджету каждого городского, сельского поселения на очередной финансовый год и первый год планового периода по сравнению с размером дотации на выравнивание бюджетной обеспеченности поселений, утвержденным соответственно на первый год планового периода и второй год планового периода в бюджете муниципального района автономного на текущий финансовый год и плановый период, с учетом замены дотации (части дотации) дополнительными нормативами отчислений в бюджеты городских поселений, сельских поселений, от налога на доходы физических лиц, за исключением одного из случаев, установленных Бюджетным кодексом Российской Федерации.</w:t>
      </w:r>
    </w:p>
    <w:p w:rsidR="00972279" w:rsidRPr="00972279" w:rsidRDefault="00972279" w:rsidP="0097227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составлении и утверждении бюджета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муниципального района на очередной финансовый год и плановый период по согласованию с представительными органами городских, сельских поселений дотации на выравнивание бюджетной обеспеченности поселений могут быть полностью или частично заменены дополнительными нормативами отчислений от налога на доходы физических лиц. 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заменяющих дотации на выравнивание бюджетной обеспеченности поселений дополнительных нормативов отчислений от налога на доходы физических лиц в бюджеты поселений осуществляется финансовым органом муниципального района.</w:t>
      </w:r>
    </w:p>
    <w:p w:rsid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Дополнительный норматив отчислений от налога на доходы физических лиц 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му поселению (Норм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рассчитывается по следующей формуле:</w:t>
      </w:r>
    </w:p>
    <w:p w:rsidR="00054D01" w:rsidRPr="00972279" w:rsidRDefault="00054D01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Default="00972279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= Д1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КН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 100%, где:</w:t>
      </w:r>
    </w:p>
    <w:p w:rsidR="00054D01" w:rsidRPr="00972279" w:rsidRDefault="00054D01" w:rsidP="0097227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КН</w:t>
      </w:r>
      <w:r w:rsidRPr="00972279">
        <w:rPr>
          <w:rFonts w:ascii="Times New Roman" w:eastAsia="Times New Roman" w:hAnsi="Times New Roman" w:cs="Times New Roman"/>
          <w:sz w:val="24"/>
          <w:szCs w:val="24"/>
          <w:vertAlign w:val="subscript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прогноз поступлений по налогу на доходы физических лиц в консолидированный бюджет муниципального района на очередной финансовый год (первый и второй год планового периода) с территории </w:t>
      </w:r>
      <w:r w:rsidRPr="009722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поселения.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расчетный дополнительный норматив отчислений от налога на доходы физических лиц превышает максимально возможный норматив, определяемый как норматив отчислений от налога на доходы физических лиц, подлежащий в соответствии с требованиями Бюджетного кодекса Российской Федерации, а также настоящего Закона, </w:t>
      </w: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зачислению в консолидированный бюджет муниципального района, в качестве дополнительного норматива устанавливается максимально возможный норматив.</w:t>
      </w:r>
    </w:p>
    <w:p w:rsidR="00972279" w:rsidRPr="00972279" w:rsidRDefault="00972279" w:rsidP="0097227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227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Недостающие средства передаются в бюджеты поселений в форме дотаций на выравнивание бюджетной обеспеченности  городских, сельских поселений.</w:t>
      </w:r>
    </w:p>
    <w:p w:rsidR="004B40C0" w:rsidRPr="00972279" w:rsidRDefault="004B40C0" w:rsidP="009722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B40C0" w:rsidRPr="00972279" w:rsidSect="007070A0">
      <w:headerReference w:type="default" r:id="rId7"/>
      <w:pgSz w:w="11906" w:h="16838"/>
      <w:pgMar w:top="1559" w:right="1134" w:bottom="1276" w:left="1418" w:header="709" w:footer="709" w:gutter="0"/>
      <w:pgNumType w:start="25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0A0" w:rsidRDefault="007070A0" w:rsidP="007070A0">
      <w:pPr>
        <w:spacing w:after="0" w:line="240" w:lineRule="auto"/>
      </w:pPr>
      <w:r>
        <w:separator/>
      </w:r>
    </w:p>
  </w:endnote>
  <w:endnote w:type="continuationSeparator" w:id="0">
    <w:p w:rsidR="007070A0" w:rsidRDefault="007070A0" w:rsidP="00707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0A0" w:rsidRDefault="007070A0" w:rsidP="007070A0">
      <w:pPr>
        <w:spacing w:after="0" w:line="240" w:lineRule="auto"/>
      </w:pPr>
      <w:r>
        <w:separator/>
      </w:r>
    </w:p>
  </w:footnote>
  <w:footnote w:type="continuationSeparator" w:id="0">
    <w:p w:rsidR="007070A0" w:rsidRDefault="007070A0" w:rsidP="00707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054920"/>
      <w:docPartObj>
        <w:docPartGallery w:val="Page Numbers (Top of Page)"/>
        <w:docPartUnique/>
      </w:docPartObj>
    </w:sdtPr>
    <w:sdtContent>
      <w:p w:rsidR="007070A0" w:rsidRDefault="007070A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2521</w:t>
        </w:r>
        <w:r>
          <w:fldChar w:fldCharType="end"/>
        </w:r>
      </w:p>
    </w:sdtContent>
  </w:sdt>
  <w:p w:rsidR="007070A0" w:rsidRDefault="007070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40D82"/>
    <w:multiLevelType w:val="hybridMultilevel"/>
    <w:tmpl w:val="EE6A02B4"/>
    <w:lvl w:ilvl="0" w:tplc="633699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943840"/>
    <w:multiLevelType w:val="multilevel"/>
    <w:tmpl w:val="E6AE2032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9D6"/>
    <w:rsid w:val="00054D01"/>
    <w:rsid w:val="004B40C0"/>
    <w:rsid w:val="007070A0"/>
    <w:rsid w:val="008A29D6"/>
    <w:rsid w:val="00972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FB9364-2005-4890-86AE-0B0F1631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2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227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722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22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07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70A0"/>
  </w:style>
  <w:style w:type="paragraph" w:styleId="a7">
    <w:name w:val="footer"/>
    <w:basedOn w:val="a"/>
    <w:link w:val="a8"/>
    <w:uiPriority w:val="99"/>
    <w:unhideWhenUsed/>
    <w:rsid w:val="00707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7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1450</Words>
  <Characters>8270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Косарева Антонина Леонидовна</dc:creator>
  <cp:keywords/>
  <dc:description/>
  <cp:lastModifiedBy>Фрей Валентина Александровна</cp:lastModifiedBy>
  <cp:revision>3</cp:revision>
  <dcterms:created xsi:type="dcterms:W3CDTF">2019-10-15T09:27:00Z</dcterms:created>
  <dcterms:modified xsi:type="dcterms:W3CDTF">2019-10-18T11:35:00Z</dcterms:modified>
</cp:coreProperties>
</file>